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C68" w:rsidRDefault="00B3547E" w:rsidP="00321C68">
      <w:pPr>
        <w:rPr>
          <w:rFonts w:hint="eastAsia"/>
        </w:rPr>
      </w:pPr>
      <w:r>
        <w:tab/>
      </w:r>
      <w:bookmarkStart w:id="0" w:name="_GoBack"/>
      <w:bookmarkEnd w:id="0"/>
    </w:p>
    <w:p w:rsidR="00321C68" w:rsidRDefault="00321C68" w:rsidP="00321C68"/>
    <w:p w:rsidR="00321C68" w:rsidRDefault="00321C68" w:rsidP="00321C68"/>
    <w:p w:rsidR="00321C68" w:rsidRDefault="006B3019" w:rsidP="00321C68">
      <w:r>
        <w:pict>
          <v:group id="head" o:spid="_x0000_s1067" editas="canvas" style="position:absolute;left:0;text-align:left;margin-left:-35.4pt;margin-top:13.75pt;width:503.4pt;height:150.05pt;z-index:1" coordorigin="994,5888" coordsize="10068,30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994;top:5888;width:10068;height:3001" o:preferrelative="f" fillcolor="red" strokecolor="red" strokeweight="6pt">
              <v:fill o:detectmouseclick="t"/>
              <v:path o:extrusionok="t" o:connecttype="none"/>
            </v:shape>
            <v:shapetype id="_x0000_t202" coordsize="21600,21600" o:spt="202" path="m,l,21600r21600,l21600,xe">
              <v:stroke joinstyle="miter"/>
              <v:path gradientshapeok="t" o:connecttype="rect"/>
            </v:shapetype>
            <v:shape id="wenhao" o:spid="_x0000_s1069" type="#_x0000_t202" style="position:absolute;left:4222;top:7845;width:3652;height:730" stroked="f">
              <v:textbox style="mso-next-textbox:#wenhao">
                <w:txbxContent>
                  <w:p w:rsidR="00D71127" w:rsidRPr="0031516E" w:rsidRDefault="00D71127" w:rsidP="00D71127">
                    <w:pPr>
                      <w:spacing w:line="560" w:lineRule="exact"/>
                      <w:jc w:val="center"/>
                      <w:rPr>
                        <w:rFonts w:ascii="仿宋_GB2312" w:eastAsia="仿宋_GB2312" w:hAnsi="微软雅黑"/>
                        <w:bCs/>
                        <w:sz w:val="32"/>
                        <w:szCs w:val="32"/>
                      </w:rPr>
                    </w:pPr>
                    <w:r w:rsidRPr="0031516E">
                      <w:rPr>
                        <w:rFonts w:ascii="仿宋_GB2312" w:eastAsia="仿宋_GB2312" w:hAnsi="微软雅黑" w:hint="eastAsia"/>
                        <w:bCs/>
                        <w:sz w:val="32"/>
                        <w:szCs w:val="32"/>
                      </w:rPr>
                      <w:t>教</w:t>
                    </w:r>
                    <w:r w:rsidR="00301ED2">
                      <w:rPr>
                        <w:rFonts w:ascii="仿宋_GB2312" w:eastAsia="仿宋_GB2312" w:hAnsi="微软雅黑" w:hint="eastAsia"/>
                        <w:bCs/>
                        <w:sz w:val="32"/>
                        <w:szCs w:val="32"/>
                      </w:rPr>
                      <w:t>高</w:t>
                    </w:r>
                    <w:r w:rsidRPr="0031516E">
                      <w:rPr>
                        <w:rFonts w:ascii="仿宋_GB2312" w:eastAsia="仿宋_GB2312" w:hAnsi="微软雅黑" w:hint="eastAsia"/>
                        <w:bCs/>
                        <w:sz w:val="32"/>
                        <w:szCs w:val="32"/>
                      </w:rPr>
                      <w:t>〔</w:t>
                    </w:r>
                    <w:r w:rsidR="00CF3410">
                      <w:rPr>
                        <w:rFonts w:eastAsia="仿宋_GB2312"/>
                        <w:bCs/>
                        <w:sz w:val="32"/>
                        <w:szCs w:val="32"/>
                      </w:rPr>
                      <w:t>20</w:t>
                    </w:r>
                    <w:r w:rsidR="00301ED2">
                      <w:rPr>
                        <w:rFonts w:eastAsia="仿宋_GB2312" w:hint="eastAsia"/>
                        <w:bCs/>
                        <w:sz w:val="32"/>
                        <w:szCs w:val="32"/>
                      </w:rPr>
                      <w:t>20</w:t>
                    </w:r>
                    <w:r w:rsidRPr="0031516E">
                      <w:rPr>
                        <w:rFonts w:ascii="仿宋_GB2312" w:eastAsia="仿宋_GB2312" w:hAnsi="微软雅黑" w:hint="eastAsia"/>
                        <w:bCs/>
                        <w:sz w:val="32"/>
                        <w:szCs w:val="32"/>
                      </w:rPr>
                      <w:t>〕</w:t>
                    </w:r>
                    <w:r w:rsidR="00301ED2">
                      <w:rPr>
                        <w:rFonts w:ascii="仿宋_GB2312" w:eastAsia="仿宋_GB2312" w:hAnsi="微软雅黑" w:hint="eastAsia"/>
                        <w:bCs/>
                        <w:sz w:val="32"/>
                        <w:szCs w:val="32"/>
                      </w:rPr>
                      <w:t>3</w:t>
                    </w:r>
                    <w:r w:rsidRPr="0031516E">
                      <w:rPr>
                        <w:rFonts w:ascii="仿宋_GB2312" w:eastAsia="仿宋_GB2312" w:hAnsi="微软雅黑" w:hint="eastAsia"/>
                        <w:bCs/>
                        <w:sz w:val="32"/>
                        <w:szCs w:val="32"/>
                      </w:rPr>
                      <w:t>号</w:t>
                    </w:r>
                  </w:p>
                  <w:p w:rsidR="00321C68" w:rsidRDefault="00321C68" w:rsidP="00321C68">
                    <w:pPr>
                      <w:rPr>
                        <w:szCs w:val="32"/>
                      </w:rPr>
                    </w:pPr>
                  </w:p>
                </w:txbxContent>
              </v:textbox>
            </v:shape>
            <v:line id="_x0000_s1070" style="position:absolute" from="1470,8704" to="10722,8705" strokecolor="red" strokeweight="2.25pt"/>
            <v:shape id="sign" o:spid="_x0000_s1071" type="#_x0000_t202" style="position:absolute;left:994;top:6057;width:469;height:512;mso-wrap-style:none;mso-position-horizontal-relative:char;mso-position-vertical-relative:line" stroked="f">
              <v:textbox style="mso-next-textbox:#sign;mso-fit-shape-to-text:t" inset=",10pt,,0">
                <w:txbxContent>
                  <w:p w:rsidR="00321C68" w:rsidRPr="00144143" w:rsidRDefault="00321C68" w:rsidP="00144143">
                    <w:pPr>
                      <w:rPr>
                        <w:szCs w:val="76"/>
                      </w:rPr>
                    </w:pPr>
                  </w:p>
                </w:txbxContent>
              </v:textbox>
            </v:shape>
            <v:shape id="_x0000_s1093" type="#_x0000_t75" style="position:absolute;left:2509;top:6185;width:7081;height:1099">
              <v:imagedata r:id="rId6" o:title="教育部文件"/>
            </v:shape>
          </v:group>
        </w:pict>
      </w:r>
    </w:p>
    <w:p w:rsidR="00321C68" w:rsidRDefault="00321C68" w:rsidP="00321C68"/>
    <w:p w:rsidR="00321C68" w:rsidRDefault="00321C68" w:rsidP="00321C68"/>
    <w:p w:rsidR="00321C68" w:rsidRDefault="00321C68" w:rsidP="00321C68"/>
    <w:p w:rsidR="00321C68" w:rsidRDefault="00321C68" w:rsidP="00321C68"/>
    <w:p w:rsidR="00321C68" w:rsidRDefault="00321C68" w:rsidP="00321C68"/>
    <w:p w:rsidR="00321C68" w:rsidRDefault="00321C68" w:rsidP="00321C68"/>
    <w:p w:rsidR="00321C68" w:rsidRDefault="00321C68" w:rsidP="00321C68"/>
    <w:p w:rsidR="00321C68" w:rsidRDefault="00321C68" w:rsidP="00321C68"/>
    <w:p w:rsidR="00321C68" w:rsidRDefault="00321C68" w:rsidP="00321C68"/>
    <w:p w:rsidR="00010983" w:rsidRDefault="00010983" w:rsidP="00321C68"/>
    <w:p w:rsidR="00010983" w:rsidRPr="00106CEF" w:rsidRDefault="00010983" w:rsidP="00321C68">
      <w:pPr>
        <w:rPr>
          <w:rFonts w:ascii="仿宋_GB2312" w:eastAsia="仿宋_GB2312"/>
          <w:sz w:val="32"/>
          <w:szCs w:val="32"/>
        </w:rPr>
      </w:pPr>
    </w:p>
    <w:p w:rsidR="00301ED2" w:rsidRDefault="00301ED2" w:rsidP="00301ED2">
      <w:pPr>
        <w:pStyle w:val="1"/>
        <w:widowControl/>
        <w:snapToGrid w:val="0"/>
        <w:spacing w:beforeAutospacing="0" w:afterAutospacing="0" w:line="560" w:lineRule="exact"/>
        <w:jc w:val="center"/>
        <w:rPr>
          <w:rFonts w:ascii="方正小标宋简体" w:eastAsia="方正小标宋简体" w:hAnsi="方正小标宋简体" w:cs="方正小标宋简体" w:hint="default"/>
          <w:b w:val="0"/>
          <w:bCs/>
          <w:sz w:val="44"/>
          <w:szCs w:val="44"/>
          <w:shd w:val="clear" w:color="auto" w:fill="FFFFFF"/>
        </w:rPr>
      </w:pPr>
      <w:r>
        <w:rPr>
          <w:rFonts w:ascii="方正小标宋简体" w:eastAsia="方正小标宋简体" w:hAnsi="方正小标宋简体" w:cs="方正小标宋简体"/>
          <w:b w:val="0"/>
          <w:bCs/>
          <w:sz w:val="44"/>
          <w:szCs w:val="44"/>
          <w:shd w:val="clear" w:color="auto" w:fill="FFFFFF"/>
        </w:rPr>
        <w:t>教育部关于印发《高等学校课程思政建设</w:t>
      </w:r>
    </w:p>
    <w:p w:rsidR="00301ED2" w:rsidRDefault="00301ED2" w:rsidP="00301ED2">
      <w:pPr>
        <w:pStyle w:val="1"/>
        <w:widowControl/>
        <w:snapToGrid w:val="0"/>
        <w:spacing w:beforeAutospacing="0" w:afterAutospacing="0" w:line="560" w:lineRule="exact"/>
        <w:jc w:val="center"/>
        <w:rPr>
          <w:rFonts w:ascii="仿宋" w:eastAsia="仿宋" w:hAnsi="仿宋" w:cs="仿宋" w:hint="default"/>
          <w:b w:val="0"/>
          <w:bCs/>
          <w:sz w:val="32"/>
          <w:szCs w:val="32"/>
          <w:shd w:val="clear" w:color="auto" w:fill="FFFFFF"/>
        </w:rPr>
      </w:pPr>
      <w:r>
        <w:rPr>
          <w:rFonts w:ascii="方正小标宋简体" w:eastAsia="方正小标宋简体" w:hAnsi="方正小标宋简体" w:cs="方正小标宋简体"/>
          <w:b w:val="0"/>
          <w:bCs/>
          <w:sz w:val="44"/>
          <w:szCs w:val="44"/>
          <w:shd w:val="clear" w:color="auto" w:fill="FFFFFF"/>
        </w:rPr>
        <w:t>指导纲要》的通知</w:t>
      </w:r>
    </w:p>
    <w:p w:rsidR="00301ED2" w:rsidRDefault="00301ED2" w:rsidP="00301ED2">
      <w:pPr>
        <w:snapToGrid w:val="0"/>
        <w:spacing w:line="560" w:lineRule="exact"/>
        <w:rPr>
          <w:rFonts w:ascii="仿宋" w:eastAsia="仿宋" w:hAnsi="仿宋" w:cs="仿宋"/>
          <w:bCs/>
          <w:sz w:val="32"/>
          <w:szCs w:val="32"/>
          <w:shd w:val="clear" w:color="auto" w:fill="FFFFFF"/>
        </w:rPr>
      </w:pPr>
    </w:p>
    <w:p w:rsidR="00301ED2" w:rsidRDefault="00301ED2" w:rsidP="00301ED2">
      <w:pPr>
        <w:pStyle w:val="a6"/>
        <w:widowControl/>
        <w:snapToGrid w:val="0"/>
        <w:spacing w:beforeAutospacing="0" w:afterAutospacing="0" w:line="560" w:lineRule="exact"/>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各省、自治区、直辖市教育厅（教委），新疆生产建设兵团教育局，有关部门（单位）教育司（局），部属各高等学校、部省合建各高等学校：</w:t>
      </w:r>
    </w:p>
    <w:p w:rsidR="00301ED2" w:rsidRDefault="00301ED2" w:rsidP="00301ED2">
      <w:pPr>
        <w:pStyle w:val="a6"/>
        <w:widowControl/>
        <w:snapToGrid w:val="0"/>
        <w:spacing w:beforeAutospacing="0" w:afterAutospacing="0" w:line="560" w:lineRule="exact"/>
        <w:ind w:firstLine="64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《高等学校课程思政建设指导纲要》</w:t>
      </w:r>
      <w:r w:rsidR="00DB7F03">
        <w:rPr>
          <w:rFonts w:ascii="仿宋" w:eastAsia="仿宋" w:hAnsi="仿宋" w:cs="仿宋" w:hint="eastAsia"/>
          <w:sz w:val="32"/>
          <w:szCs w:val="32"/>
          <w:shd w:val="clear" w:color="auto" w:fill="FFFFFF"/>
        </w:rPr>
        <w:t>已经教育部党组会议审议通过，现</w:t>
      </w:r>
      <w:r>
        <w:rPr>
          <w:rFonts w:ascii="仿宋" w:eastAsia="仿宋" w:hAnsi="仿宋" w:cs="仿宋" w:hint="eastAsia"/>
          <w:sz w:val="32"/>
          <w:szCs w:val="32"/>
          <w:shd w:val="clear" w:color="auto" w:fill="FFFFFF"/>
        </w:rPr>
        <w:t>印发给你们，请结合实际认真贯彻执行。</w:t>
      </w:r>
    </w:p>
    <w:p w:rsidR="00D71127" w:rsidRPr="00301ED2" w:rsidRDefault="00D71127">
      <w:pPr>
        <w:spacing w:line="560" w:lineRule="exact"/>
        <w:jc w:val="center"/>
        <w:rPr>
          <w:rFonts w:ascii="方正小标宋简体" w:eastAsia="方正小标宋简体" w:hAnsi="微软雅黑"/>
          <w:b/>
          <w:bCs/>
          <w:sz w:val="44"/>
          <w:szCs w:val="44"/>
        </w:rPr>
      </w:pPr>
    </w:p>
    <w:p w:rsidR="00CF3410" w:rsidRDefault="00CF3410" w:rsidP="007908A0">
      <w:pPr>
        <w:spacing w:line="560" w:lineRule="exact"/>
        <w:jc w:val="left"/>
        <w:rPr>
          <w:rFonts w:ascii="仿宋_GB2312" w:eastAsia="仿宋_GB2312" w:hAnsi="微软雅黑"/>
          <w:bCs/>
          <w:sz w:val="30"/>
          <w:szCs w:val="30"/>
        </w:rPr>
      </w:pPr>
    </w:p>
    <w:p w:rsidR="00CF3410" w:rsidRDefault="00CF3410" w:rsidP="007908A0">
      <w:pPr>
        <w:spacing w:line="560" w:lineRule="exact"/>
        <w:jc w:val="left"/>
        <w:rPr>
          <w:rFonts w:ascii="仿宋_GB2312" w:eastAsia="仿宋_GB2312" w:hAnsi="微软雅黑"/>
          <w:bCs/>
          <w:sz w:val="30"/>
          <w:szCs w:val="30"/>
        </w:rPr>
      </w:pPr>
    </w:p>
    <w:p w:rsidR="00CF3410" w:rsidRDefault="00CF3410" w:rsidP="007908A0">
      <w:pPr>
        <w:spacing w:line="560" w:lineRule="exact"/>
        <w:jc w:val="left"/>
        <w:rPr>
          <w:rFonts w:ascii="仿宋_GB2312" w:eastAsia="仿宋_GB2312" w:hAnsi="微软雅黑"/>
          <w:bCs/>
          <w:sz w:val="30"/>
          <w:szCs w:val="30"/>
        </w:rPr>
      </w:pPr>
    </w:p>
    <w:p w:rsidR="00D71127" w:rsidRPr="00D71127" w:rsidRDefault="00D71127" w:rsidP="007908A0">
      <w:pPr>
        <w:spacing w:line="560" w:lineRule="exact"/>
        <w:jc w:val="left"/>
        <w:rPr>
          <w:rFonts w:eastAsia="仿宋_GB2312"/>
          <w:color w:val="000000"/>
          <w:sz w:val="30"/>
          <w:szCs w:val="30"/>
        </w:rPr>
      </w:pPr>
      <w:r>
        <w:rPr>
          <w:rFonts w:eastAsia="仿宋_GB2312" w:hint="eastAsia"/>
          <w:color w:val="000000"/>
          <w:sz w:val="32"/>
          <w:szCs w:val="32"/>
        </w:rPr>
        <w:t xml:space="preserve">                                         </w:t>
      </w:r>
      <w:r w:rsidRPr="00D71127">
        <w:rPr>
          <w:rFonts w:eastAsia="仿宋_GB2312" w:hint="eastAsia"/>
          <w:color w:val="000000"/>
          <w:sz w:val="30"/>
          <w:szCs w:val="30"/>
        </w:rPr>
        <w:t xml:space="preserve"> </w:t>
      </w:r>
      <w:r w:rsidRPr="00D71127">
        <w:rPr>
          <w:rFonts w:eastAsia="仿宋_GB2312" w:hint="eastAsia"/>
          <w:color w:val="000000"/>
          <w:sz w:val="30"/>
          <w:szCs w:val="30"/>
        </w:rPr>
        <w:t>教</w:t>
      </w:r>
      <w:r w:rsidRPr="00D71127">
        <w:rPr>
          <w:rFonts w:eastAsia="仿宋_GB2312" w:hint="eastAsia"/>
          <w:color w:val="000000"/>
          <w:sz w:val="30"/>
          <w:szCs w:val="30"/>
        </w:rPr>
        <w:t xml:space="preserve"> </w:t>
      </w:r>
      <w:r w:rsidRPr="00D71127">
        <w:rPr>
          <w:rFonts w:eastAsia="仿宋_GB2312" w:hint="eastAsia"/>
          <w:color w:val="000000"/>
          <w:sz w:val="30"/>
          <w:szCs w:val="30"/>
        </w:rPr>
        <w:t>育</w:t>
      </w:r>
      <w:r w:rsidRPr="00D71127">
        <w:rPr>
          <w:rFonts w:eastAsia="仿宋_GB2312" w:hint="eastAsia"/>
          <w:color w:val="000000"/>
          <w:sz w:val="30"/>
          <w:szCs w:val="30"/>
        </w:rPr>
        <w:t xml:space="preserve"> </w:t>
      </w:r>
      <w:r w:rsidRPr="00D71127">
        <w:rPr>
          <w:rFonts w:eastAsia="仿宋_GB2312" w:hint="eastAsia"/>
          <w:color w:val="000000"/>
          <w:sz w:val="30"/>
          <w:szCs w:val="30"/>
        </w:rPr>
        <w:t>部</w:t>
      </w:r>
    </w:p>
    <w:p w:rsidR="00301ED2" w:rsidRDefault="00D71127" w:rsidP="00301ED2">
      <w:pPr>
        <w:snapToGrid w:val="0"/>
        <w:spacing w:line="558" w:lineRule="exact"/>
        <w:jc w:val="center"/>
        <w:rPr>
          <w:rFonts w:ascii="方正小标宋简体" w:eastAsia="方正小标宋简体" w:hAnsi="方正小标宋简体" w:cs="方正小标宋简体"/>
          <w:sz w:val="44"/>
          <w:szCs w:val="44"/>
        </w:rPr>
      </w:pPr>
      <w:r w:rsidRPr="00D71127">
        <w:rPr>
          <w:rFonts w:eastAsia="仿宋_GB2312" w:hint="eastAsia"/>
          <w:color w:val="000000"/>
          <w:sz w:val="30"/>
          <w:szCs w:val="30"/>
        </w:rPr>
        <w:t xml:space="preserve">                                     20</w:t>
      </w:r>
      <w:r w:rsidR="00301ED2">
        <w:rPr>
          <w:rFonts w:eastAsia="仿宋_GB2312" w:hint="eastAsia"/>
          <w:color w:val="000000"/>
          <w:sz w:val="30"/>
          <w:szCs w:val="30"/>
        </w:rPr>
        <w:t>20</w:t>
      </w:r>
      <w:r w:rsidRPr="00D71127">
        <w:rPr>
          <w:rFonts w:eastAsia="仿宋_GB2312" w:hint="eastAsia"/>
          <w:color w:val="000000"/>
          <w:sz w:val="30"/>
          <w:szCs w:val="30"/>
        </w:rPr>
        <w:t>年</w:t>
      </w:r>
      <w:r w:rsidR="00301ED2">
        <w:rPr>
          <w:rFonts w:eastAsia="仿宋_GB2312" w:hint="eastAsia"/>
          <w:color w:val="000000"/>
          <w:sz w:val="30"/>
          <w:szCs w:val="30"/>
        </w:rPr>
        <w:t>5</w:t>
      </w:r>
      <w:r w:rsidRPr="00D71127">
        <w:rPr>
          <w:rFonts w:eastAsia="仿宋_GB2312" w:hint="eastAsia"/>
          <w:color w:val="000000"/>
          <w:sz w:val="30"/>
          <w:szCs w:val="30"/>
        </w:rPr>
        <w:t>月</w:t>
      </w:r>
      <w:r w:rsidR="00301ED2">
        <w:rPr>
          <w:rFonts w:eastAsia="仿宋_GB2312" w:hint="eastAsia"/>
          <w:color w:val="000000"/>
          <w:sz w:val="30"/>
          <w:szCs w:val="30"/>
        </w:rPr>
        <w:t>28</w:t>
      </w:r>
      <w:r w:rsidRPr="00D71127">
        <w:rPr>
          <w:rFonts w:eastAsia="仿宋_GB2312" w:hint="eastAsia"/>
          <w:color w:val="000000"/>
          <w:sz w:val="30"/>
          <w:szCs w:val="30"/>
        </w:rPr>
        <w:t>日</w:t>
      </w:r>
      <w:r w:rsidRPr="00D71127">
        <w:rPr>
          <w:rFonts w:ascii="方正小标宋简体" w:eastAsia="方正小标宋简体" w:hAnsi="微软雅黑"/>
          <w:b/>
          <w:bCs/>
          <w:sz w:val="30"/>
          <w:szCs w:val="30"/>
        </w:rPr>
        <w:br w:type="page"/>
      </w:r>
      <w:r w:rsidR="00301ED2">
        <w:rPr>
          <w:rFonts w:ascii="方正小标宋简体" w:eastAsia="方正小标宋简体" w:hAnsi="方正小标宋简体" w:cs="方正小标宋简体" w:hint="eastAsia"/>
          <w:sz w:val="44"/>
          <w:szCs w:val="44"/>
        </w:rPr>
        <w:lastRenderedPageBreak/>
        <w:t>高等学校课程思政建设指导纲要</w:t>
      </w:r>
    </w:p>
    <w:p w:rsidR="00301ED2" w:rsidRDefault="00301ED2" w:rsidP="00301ED2">
      <w:pPr>
        <w:snapToGrid w:val="0"/>
        <w:spacing w:line="558" w:lineRule="exact"/>
        <w:rPr>
          <w:rFonts w:eastAsia="仿宋_GB2312"/>
          <w:sz w:val="32"/>
          <w:szCs w:val="32"/>
        </w:rPr>
      </w:pP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为深入贯彻落实习近平总书记关于教育的重要论述和全国教育大会精神，贯彻落实中共中央办公厅、国务院办公厅《关于深化新时代学校思想政治理论课改革创新的若干意见》，把思想政治教育贯穿人才培养体系，全面推进高校课程思政建设，发挥好每门课程的育人作用，提高高校人才培养质量，特制定本纲要。</w:t>
      </w:r>
    </w:p>
    <w:p w:rsidR="00301ED2" w:rsidRDefault="00301ED2" w:rsidP="00301ED2">
      <w:pPr>
        <w:snapToGrid w:val="0"/>
        <w:spacing w:line="558" w:lineRule="exact"/>
        <w:ind w:firstLineChars="200" w:firstLine="640"/>
        <w:rPr>
          <w:rFonts w:ascii="仿宋_GB2312" w:eastAsia="仿宋_GB2312"/>
          <w:sz w:val="32"/>
          <w:szCs w:val="32"/>
        </w:rPr>
      </w:pPr>
      <w:r>
        <w:rPr>
          <w:rFonts w:ascii="黑体" w:eastAsia="黑体" w:hAnsi="黑体" w:hint="eastAsia"/>
          <w:sz w:val="32"/>
          <w:szCs w:val="32"/>
        </w:rPr>
        <w:t>一、全面推进课程思政建设是落实立德树人根本任务的战略举措</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培养什么人、怎样培养人、为谁培养人是教育的根本问题，立德树人成效是检验高校一切工作的根本标准。落实立德树人根本任务，必须将价值塑造、知识传授和能力培养三者融为一体、不可割裂。全面推进课程思政建设，就是要寓价值观引导于知识传授和能力培养之中，帮助学生塑造正确的世界观、人生观、价值观，这是人才培养的应有之义，更是必备内容。这一战略举措，影响甚至决定着接班人问题，影响甚至决定着国家长治久安，影响甚至决定着民族复兴和国家崛起。要紧紧抓住教师队伍“主力军”、课程建设“主战场”、课堂教学“主渠道”，让所有高校、所有教师、所有课程都承担好育人责任，守好一段渠、种好责任田，使各类课程与思政课程同向同行，将显性教育和隐性教育相统一，形成协同效应，构建全员全程全方位育人大格局。</w:t>
      </w:r>
    </w:p>
    <w:p w:rsidR="00301ED2" w:rsidRDefault="00301ED2" w:rsidP="00301ED2">
      <w:pPr>
        <w:snapToGrid w:val="0"/>
        <w:spacing w:line="558" w:lineRule="exact"/>
        <w:ind w:firstLineChars="200" w:firstLine="640"/>
        <w:rPr>
          <w:rFonts w:ascii="仿宋_GB2312" w:eastAsia="仿宋_GB2312"/>
          <w:sz w:val="32"/>
          <w:szCs w:val="32"/>
        </w:rPr>
      </w:pPr>
      <w:r>
        <w:rPr>
          <w:rFonts w:ascii="黑体" w:eastAsia="黑体" w:hAnsi="黑体" w:hint="eastAsia"/>
          <w:sz w:val="32"/>
          <w:szCs w:val="32"/>
        </w:rPr>
        <w:t>二、课程思政建设是全面提高人才培养质量的重要任务</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高等学校人才培养是育人和育才相统一的过程。建设高水平</w:t>
      </w:r>
      <w:r>
        <w:rPr>
          <w:rFonts w:ascii="仿宋_GB2312" w:eastAsia="仿宋_GB2312" w:hint="eastAsia"/>
          <w:sz w:val="32"/>
          <w:szCs w:val="32"/>
        </w:rPr>
        <w:lastRenderedPageBreak/>
        <w:t>人才培养体系，必须将思想政治工作体系贯通其中，必须抓好课程思政建设，解决好专业教育和思政教育“两张皮”问题。要牢固确立人才培养的中心地位，围绕构建高水平人才培养体系，不断完善课程思政工作体系、教学体系和内容体系。高校主要负责同志要直接抓人才培养工作，</w:t>
      </w:r>
      <w:bookmarkStart w:id="1" w:name="_Hlk35003598"/>
      <w:r>
        <w:rPr>
          <w:rFonts w:ascii="仿宋_GB2312" w:eastAsia="仿宋_GB2312" w:hint="eastAsia"/>
          <w:sz w:val="32"/>
          <w:szCs w:val="32"/>
        </w:rPr>
        <w:t>统筹做好各学科专业、各类课程的课程思政建设。</w:t>
      </w:r>
      <w:bookmarkEnd w:id="1"/>
      <w:r>
        <w:rPr>
          <w:rFonts w:ascii="仿宋_GB2312" w:eastAsia="仿宋_GB2312" w:hAnsi="等线" w:hint="eastAsia"/>
          <w:sz w:val="32"/>
          <w:szCs w:val="32"/>
        </w:rPr>
        <w:t>要紧紧围绕国家和区域发展需求，结合学校发展定位和人才培养目标，构建全面覆盖、类型丰富、层次递进、相互支撑的课程思政体系。</w:t>
      </w:r>
      <w:r>
        <w:rPr>
          <w:rFonts w:ascii="仿宋_GB2312" w:eastAsia="仿宋_GB2312" w:hint="eastAsia"/>
          <w:sz w:val="32"/>
          <w:szCs w:val="32"/>
        </w:rPr>
        <w:t>要切实把教育教学作为最基础最根本的工作，深入挖掘各类课程和教学方式中蕴含的思想政治教育资源，让学生通过学习，掌握事物发展规律，通晓天下道理，丰富学识，增长见识，塑造品格，努力成为德智体美劳全面发展的社会主义建设者和接班人。</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t>三、明确课程思政建设目标要求和内容重点</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课程思政建设工作要围绕全面提高人才培养能力这个核心点，在全国所有高校、所有学科专业全面推进，促使课程思政的理念形成广泛共识，广大教师开展课程思政建设的意识和能力全面提升，协同推进课程思政建设的体制机制基本健全，高校立德树人成效进一步提高。</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课程思政建设内容要紧紧围绕坚定学生理想信念，以爱党、爱国、爱社会主义、爱人民、爱集体为主线，围绕政治认同、家国情怀、文化素养、宪法法治意识、道德修养等重点优化课程思政内容供给，系统进行中国特色社会主义和中国梦教育、社会主义核心价值观教育、法治教育、劳动教育、心理健康教育、中华</w:t>
      </w:r>
      <w:r>
        <w:rPr>
          <w:rFonts w:ascii="仿宋_GB2312" w:eastAsia="仿宋_GB2312" w:hint="eastAsia"/>
          <w:sz w:val="32"/>
          <w:szCs w:val="32"/>
        </w:rPr>
        <w:lastRenderedPageBreak/>
        <w:t>优秀传统文化教育。</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sz w:val="32"/>
          <w:szCs w:val="32"/>
        </w:rPr>
        <w:softHyphen/>
      </w:r>
      <w:r>
        <w:rPr>
          <w:rFonts w:ascii="仿宋_GB2312" w:eastAsia="仿宋_GB2312" w:hint="eastAsia"/>
          <w:sz w:val="32"/>
          <w:szCs w:val="32"/>
        </w:rPr>
        <w:t>——</w:t>
      </w:r>
      <w:r>
        <w:rPr>
          <w:rFonts w:ascii="仿宋_GB2312" w:eastAsia="仿宋_GB2312"/>
          <w:sz w:val="32"/>
          <w:szCs w:val="32"/>
        </w:rPr>
        <w:t>推进习近平新时代中国特色社会主义思想进教材进课堂进头脑。坚持不懈用习近平新时代中国特色社会主义思想铸魂育人，引导学生了解世情国情党情民情，增强对党的创新理论的政治认同、思想认同、情感认同，坚定中国特色社会主义道路自信、理论自信、制度自信、文化自信。</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培育和践行社会主义核心价值观。教育引导学生把国家、社会、公民的价值要求融为一体，提高个人的爱国、敬业、诚信、友善修养，自觉把小我融入大我，不断追求国家的富强、民主、文明、和谐和社会的自由、平等、公正、法治，将社会主义核心价值观内化为精神追求、外化为自觉行动。</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加强中华优秀传统文化教育。大力弘扬以爱国主义为核心的民族精神和以改革创新为核心的时代精神，教育引导学生深刻理解中华优秀传统文化中讲仁爱、重民本、守诚信、崇正义、尚和合、求大同的思想精华和时代价值，教育引导学生传承中华文脉，富有中国心、饱含中国情、充满中国味。</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深入开展宪法法治教育。教育引导学生学思践悟习近平全面依法治国新理念新思想新战略，牢固树立法治观念，坚定走中国特色社会主义法治道路的理想和信念，深化对法治理念、法治原则、重要法律概念的认知，提高运用法治思维和法治方式维护自身权利、参与社会公共事务、化解矛盾纠纷的意识和能力。</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深化职业理想和职业道德教育。教育引导学生深刻理解并自觉实践各行业的职业精神和职业规范，增强职业责任感，培</w:t>
      </w:r>
      <w:r>
        <w:rPr>
          <w:rFonts w:ascii="仿宋_GB2312" w:eastAsia="仿宋_GB2312"/>
          <w:sz w:val="32"/>
          <w:szCs w:val="32"/>
        </w:rPr>
        <w:lastRenderedPageBreak/>
        <w:t>养遵纪守法、爱岗敬业、无私奉献、诚实守信、公道办事、开拓创新的职业品格和行为习惯。</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t>四、科学设计课程思政教学体系</w:t>
      </w:r>
    </w:p>
    <w:p w:rsidR="00301ED2" w:rsidRDefault="00301ED2" w:rsidP="00301ED2">
      <w:pPr>
        <w:snapToGrid w:val="0"/>
        <w:spacing w:line="558" w:lineRule="exact"/>
        <w:ind w:firstLineChars="200" w:firstLine="640"/>
        <w:rPr>
          <w:rFonts w:ascii="仿宋_GB2312" w:eastAsia="仿宋_GB2312" w:hAnsi="等线"/>
          <w:sz w:val="32"/>
          <w:szCs w:val="32"/>
        </w:rPr>
      </w:pPr>
      <w:r>
        <w:rPr>
          <w:rFonts w:ascii="仿宋_GB2312" w:eastAsia="仿宋_GB2312" w:hAnsi="等线" w:hint="eastAsia"/>
          <w:sz w:val="32"/>
          <w:szCs w:val="32"/>
        </w:rPr>
        <w:t>高校</w:t>
      </w:r>
      <w:r>
        <w:rPr>
          <w:rFonts w:ascii="仿宋_GB2312" w:eastAsia="仿宋_GB2312" w:hint="eastAsia"/>
          <w:sz w:val="32"/>
          <w:szCs w:val="32"/>
        </w:rPr>
        <w:t>要</w:t>
      </w:r>
      <w:r>
        <w:rPr>
          <w:rFonts w:ascii="仿宋_GB2312" w:eastAsia="仿宋_GB2312" w:hAnsi="等线" w:hint="eastAsia"/>
          <w:sz w:val="32"/>
          <w:szCs w:val="32"/>
        </w:rPr>
        <w:t>有针对性地修订人才培养方案，切实落实高等职业学校专业教学标准、本科专业类教学质量国家标准和一级学科、专业学位类别（领域）博士硕士学位基本要求，</w:t>
      </w:r>
      <w:r>
        <w:rPr>
          <w:rFonts w:ascii="仿宋_GB2312" w:eastAsia="仿宋_GB2312" w:hint="eastAsia"/>
          <w:sz w:val="32"/>
          <w:szCs w:val="32"/>
        </w:rPr>
        <w:t>构建科学合理的课程思政教学体系。要</w:t>
      </w:r>
      <w:r>
        <w:rPr>
          <w:rFonts w:ascii="仿宋_GB2312" w:eastAsia="仿宋_GB2312" w:hAnsi="等线" w:hint="eastAsia"/>
          <w:sz w:val="32"/>
          <w:szCs w:val="32"/>
        </w:rPr>
        <w:t>坚持学生中心、产出导向、持续改进，不断提升学生的课程学习体验、学习效果，坚决</w:t>
      </w:r>
      <w:r>
        <w:rPr>
          <w:rFonts w:ascii="仿宋_GB2312" w:eastAsia="仿宋_GB2312" w:hint="eastAsia"/>
          <w:sz w:val="32"/>
          <w:szCs w:val="32"/>
        </w:rPr>
        <w:t>防止“贴标签”“两张皮”。</w:t>
      </w:r>
    </w:p>
    <w:p w:rsidR="00301ED2" w:rsidRDefault="00301ED2" w:rsidP="00301ED2">
      <w:pPr>
        <w:snapToGrid w:val="0"/>
        <w:spacing w:line="558" w:lineRule="exact"/>
        <w:ind w:firstLineChars="200" w:firstLine="640"/>
        <w:rPr>
          <w:rFonts w:ascii="仿宋_GB2312" w:eastAsia="仿宋_GB2312" w:hAnsi="等线"/>
          <w:sz w:val="32"/>
          <w:szCs w:val="32"/>
        </w:rPr>
      </w:pPr>
      <w:r>
        <w:rPr>
          <w:rFonts w:ascii="仿宋_GB2312" w:eastAsia="仿宋_GB2312" w:hAnsi="等线" w:hint="eastAsia"/>
          <w:sz w:val="32"/>
          <w:szCs w:val="32"/>
        </w:rPr>
        <w:t>公共基础课程。要重点建设一批提高大学生思想道德修养、人文素质、科学精神、宪法法治意识、国家安全意识和认知能力的课程，注重在潜移默化中坚定学生理想信念、厚植爱国主义情怀、加强品德修养、增长知识见识、培养奋斗精神，提升学生综合素质。打造一批有特色的体育、美育类课程，帮助学生在体育锻炼中享受乐趣、增强体质、健全人格、锤炼意志，在美育教学中提升审美素养、陶冶情操、温润心灵、激发创造创新活力。</w:t>
      </w:r>
    </w:p>
    <w:p w:rsidR="00301ED2" w:rsidRDefault="00301ED2" w:rsidP="00301ED2">
      <w:pPr>
        <w:snapToGrid w:val="0"/>
        <w:spacing w:line="558" w:lineRule="exact"/>
        <w:ind w:firstLineChars="200" w:firstLine="640"/>
        <w:rPr>
          <w:rFonts w:ascii="仿宋_GB2312" w:eastAsia="仿宋_GB2312" w:hAnsi="等线"/>
          <w:sz w:val="32"/>
          <w:szCs w:val="32"/>
        </w:rPr>
      </w:pPr>
      <w:r>
        <w:rPr>
          <w:rFonts w:ascii="仿宋_GB2312" w:eastAsia="仿宋_GB2312" w:hAnsi="等线" w:hint="eastAsia"/>
          <w:sz w:val="32"/>
          <w:szCs w:val="32"/>
        </w:rPr>
        <w:t>专业教育课程。要根据不同学科专业的特色和优势，深入研究不同专业的育人目标，深度挖掘提炼专业知识体系中所蕴含的思想价值和精神内涵，科学合理拓展专业课程的广度、深度和温度，从课程所涉专业、行业、国家、国际、文化、历史等角度，增加课程的知识性、人文性，提升引领性、时代性和开放性。</w:t>
      </w:r>
    </w:p>
    <w:p w:rsidR="00301ED2" w:rsidRDefault="00301ED2" w:rsidP="00301ED2">
      <w:pPr>
        <w:snapToGrid w:val="0"/>
        <w:spacing w:line="558" w:lineRule="exact"/>
        <w:ind w:firstLineChars="200" w:firstLine="640"/>
        <w:rPr>
          <w:rFonts w:ascii="仿宋_GB2312" w:eastAsia="仿宋_GB2312" w:hAnsi="等线"/>
          <w:sz w:val="32"/>
          <w:szCs w:val="32"/>
        </w:rPr>
      </w:pPr>
      <w:r>
        <w:rPr>
          <w:rFonts w:ascii="仿宋_GB2312" w:eastAsia="仿宋_GB2312" w:hAnsi="等线" w:hint="eastAsia"/>
          <w:sz w:val="32"/>
          <w:szCs w:val="32"/>
        </w:rPr>
        <w:t>实践类课程。专业实验实践课程，要注重学思结合、知行统一，增强学生勇于探索的创新精神、善于解决问题的实践能力。</w:t>
      </w:r>
      <w:r>
        <w:rPr>
          <w:rFonts w:ascii="仿宋_GB2312" w:eastAsia="仿宋_GB2312" w:hAnsi="等线" w:hint="eastAsia"/>
          <w:sz w:val="32"/>
          <w:szCs w:val="32"/>
        </w:rPr>
        <w:lastRenderedPageBreak/>
        <w:t>创新创业教育课程，要注重让学生“敢闯会创”，在亲身参与中增强创新精神、创造意识和创业能力。社会实践类课程，要注重教育和引导学生弘扬劳动精神，将“读万卷书”与“行万里路”相结合，扎根中国大地了解国情民情，在实践中增长智慧才干，在艰苦奋斗中锤炼意志品质。</w:t>
      </w:r>
    </w:p>
    <w:p w:rsidR="00301ED2" w:rsidRDefault="00301ED2" w:rsidP="00301ED2">
      <w:pPr>
        <w:snapToGrid w:val="0"/>
        <w:spacing w:line="558" w:lineRule="exact"/>
        <w:ind w:left="640"/>
        <w:rPr>
          <w:rFonts w:ascii="黑体" w:eastAsia="黑体" w:hAnsi="黑体"/>
          <w:sz w:val="32"/>
          <w:szCs w:val="32"/>
        </w:rPr>
      </w:pPr>
      <w:r>
        <w:rPr>
          <w:rFonts w:ascii="黑体" w:eastAsia="黑体" w:hAnsi="黑体" w:hint="eastAsia"/>
          <w:sz w:val="32"/>
          <w:szCs w:val="32"/>
        </w:rPr>
        <w:t>五、结合专业特点分类推进课程思政建设</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Ansi="等线" w:hint="eastAsia"/>
          <w:sz w:val="32"/>
          <w:szCs w:val="32"/>
        </w:rPr>
        <w:t>专业课程是课程思政建设的基本载体。要深入</w:t>
      </w:r>
      <w:r>
        <w:rPr>
          <w:rFonts w:ascii="仿宋_GB2312" w:eastAsia="仿宋_GB2312" w:hint="eastAsia"/>
          <w:sz w:val="32"/>
          <w:szCs w:val="32"/>
        </w:rPr>
        <w:t>梳理专业课教学内容，结合不同课程特点、思维方法和价值理念，深入挖掘课程思政元素，有机融入课程教学，达到润物无声的育人效果。</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文学、历史学、哲学类专业课程。要在课程教学中帮助学生掌握马克思主义世界观和方法论，从历史与现实、理论与实践等维度深刻理解习近平新时代中国特色社会主义思想。要结合专业知识教育引导学生深刻理解社会主义核心价值观，自觉弘扬中华优秀传统文化、革命文化、社会主义先进文化。</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经济学、管理学、法学类专业课程。要在课程教学中坚持以马克思主义为指导，加快构建中国特色哲学社会科学学科体系、学术体系、话语体系。要帮助学生了解相关专业和行业领域的国家战略、法律法规和相关政策，引导学生深入社会实践、关注现实问题，培育学生经世济民、诚信服务、德法兼修的职业素养。</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——教育学类专业课程。要在课程教学中注重加强师德师风教育，突出</w:t>
      </w:r>
      <w:r>
        <w:rPr>
          <w:rFonts w:ascii="仿宋_GB2312" w:eastAsia="仿宋_GB2312" w:hAnsi="仿宋_GB2312" w:cs="仿宋_GB2312" w:hint="eastAsia"/>
          <w:sz w:val="32"/>
          <w:szCs w:val="32"/>
        </w:rPr>
        <w:t>课堂育德、典型树德、规则立德，</w:t>
      </w:r>
      <w:r>
        <w:rPr>
          <w:rFonts w:ascii="仿宋_GB2312" w:eastAsia="仿宋_GB2312" w:hint="eastAsia"/>
          <w:sz w:val="32"/>
          <w:szCs w:val="32"/>
        </w:rPr>
        <w:t>引导学生树立学为人师、行为世范的职业理想，</w:t>
      </w:r>
      <w:r>
        <w:rPr>
          <w:rFonts w:ascii="仿宋_GB2312" w:eastAsia="仿宋_GB2312" w:hAnsi="仿宋_GB2312" w:cs="仿宋_GB2312" w:hint="eastAsia"/>
          <w:sz w:val="32"/>
          <w:szCs w:val="32"/>
        </w:rPr>
        <w:t>培育爱国守法、规范从教的职业操</w:t>
      </w:r>
      <w:r>
        <w:rPr>
          <w:rFonts w:ascii="仿宋_GB2312" w:eastAsia="仿宋_GB2312" w:hAnsi="仿宋_GB2312" w:cs="仿宋_GB2312" w:hint="eastAsia"/>
          <w:sz w:val="32"/>
          <w:szCs w:val="32"/>
        </w:rPr>
        <w:lastRenderedPageBreak/>
        <w:t>守，</w:t>
      </w:r>
      <w:r>
        <w:rPr>
          <w:rFonts w:ascii="仿宋_GB2312" w:eastAsia="仿宋_GB2312" w:hint="eastAsia"/>
          <w:sz w:val="32"/>
          <w:szCs w:val="32"/>
        </w:rPr>
        <w:t>培养学生传道情怀、授业底蕴、解惑能力，把对家国的爱、对教育的爱、对学生的爱融为一体，自觉以德立身、以德立学、以德施教，争做有理想信念、有道德情操、有扎实学识、有仁爱之心的“四有”好老师，坚定不移走中国特色社会主义教育发展道路。体育类课程要树立健康第一的教育理念，注重爱国主义教育和传统文化教育，培养学生顽强拼搏、奋斗有我的信念，激发学生提升全民族身体素质的责任感。</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理学、工学类专业课程。要在课程教学中把马克思主义立场观点方法的教育与科学精神的培养结合起来，提高学生正确认识问题、分析问题和解决问题的能力。理学类专业课程，要注重科学思维方法的训练和科学伦理的教育，培养学生探索未知、追求真理、勇攀科学高峰的责任感和使命感。工学类专业课程，要注重强化学生工程伦理教育，培养学生精益求精的大国工匠精神，激发学生科技报国的家国情怀和使命担当。</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农学类专业课程。要在课程教学中加强生态文明教育，引导学生树立和践行绿水青山就是金山银山的理念。要注重培养学生的“大国三农”情怀，引导学生以强农兴农为己任，“懂农业、爱农村、爱农民”，树立把论文写在祖国大地上的意识和信念，增强学生服务农业农村现代化、服务乡村全面振兴的使命感和责任感，培养知农爱农创新人才。</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——医学类专业课程。要在课程教学中注重加强医德医风教育，着力培养学生“敬佑生命、救死扶伤、甘于奉献、大爱无疆”的医者精神，注重加强医者仁心教育，在培养精湛医术的同时，</w:t>
      </w:r>
      <w:r>
        <w:rPr>
          <w:rFonts w:ascii="仿宋_GB2312" w:eastAsia="仿宋_GB2312" w:hint="eastAsia"/>
          <w:sz w:val="32"/>
          <w:szCs w:val="32"/>
        </w:rPr>
        <w:lastRenderedPageBreak/>
        <w:t>教育引导学生始终把人民群众生命安全和身体健康放在首位，尊重患者，善于沟通，提升综合素养和人文修养，</w:t>
      </w:r>
      <w:r>
        <w:rPr>
          <w:rFonts w:eastAsia="仿宋_GB2312" w:hint="eastAsia"/>
          <w:color w:val="000000"/>
          <w:sz w:val="32"/>
          <w:szCs w:val="32"/>
        </w:rPr>
        <w:t>提升依法应对重大突发公共卫生事件能力，</w:t>
      </w:r>
      <w:r>
        <w:rPr>
          <w:rFonts w:ascii="仿宋_GB2312" w:eastAsia="仿宋_GB2312" w:hint="eastAsia"/>
          <w:sz w:val="32"/>
          <w:szCs w:val="32"/>
        </w:rPr>
        <w:t>做党和人民信赖的好医生。</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艺术学类专业课程。要在课程教学中教育引导学生立足时代、扎根人民、深入生活，树立正确的艺术观和创作观。要坚持以美育人、以美化人，积极弘扬中华美育精神，引导学生自觉传承和弘扬中华优秀传统文化，全面提高学生的审美和人文素养，增强文化自信。</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高等职业学校要结合高职专业分类和课程设置情况，落实好分类推进相关要求。</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t>六、将课程思政融入课堂教学建设全过程</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高校课程思政要融入课堂教学建设，作为课程设置、教学大纲核准和教案评价的重要内容，落实到课程目标设计、教学大纲修订、教材编审选用、教案课件编写各方面，贯穿于课堂授课、教学研讨、实验实训、作业论文各环节。要讲好用好马工程重点教材，推进教材内容进人才培养方案、进教案课件、进考试。要创新课堂教学模式，推进现代信息技术在课程思政教学中的应用，激发学生学习兴趣，引导学生深入思考。要健全高校课堂教学管理体系，改进课堂教学过程管理，提高课程思政内涵融入课堂教学的水平。要综合运用第一课堂和第二课堂，组织开展“中国政法实务大讲堂”“新闻实务大讲堂”等系列讲堂，深入开展“青年红色筑梦之旅”“百万师生大实践”等社会实践、志愿服务、实习实训活动，不断拓展课程思政建设方法和途径。</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lastRenderedPageBreak/>
        <w:t>七、提升教师课程思政建设的意识和能力</w:t>
      </w:r>
    </w:p>
    <w:p w:rsidR="00301ED2" w:rsidRDefault="00301ED2" w:rsidP="00301ED2">
      <w:pPr>
        <w:snapToGrid w:val="0"/>
        <w:spacing w:line="55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面推进课程思政建设，教师是关键。要推动广大教师进一步强化育人意识，找准育人角度，提升育人能力，确保课程思政建设落地落实、见功见效。要加强教师课程思政能力建设，建立健全优质资源共享机制，支持各地各高校搭建课程思政建设交流平台，分区域、分学科专业领域开展经常性的典型经验交流、现场教学观摩、教师教学培训等活动，充分利用现代信息技术手段，促进优质资源在各区域、层次、类型的高校间共享共用。依托高校教师网络培训中心、教师教学发展中心等，深入开展马克思主义政治经济学、马克思主义新闻观、</w:t>
      </w:r>
      <w:r>
        <w:rPr>
          <w:rFonts w:ascii="仿宋_GB2312" w:eastAsia="仿宋_GB2312" w:hAnsi="仿宋_GB2312" w:cs="仿宋_GB2312" w:hint="eastAsia"/>
          <w:color w:val="000000"/>
          <w:sz w:val="32"/>
          <w:szCs w:val="32"/>
        </w:rPr>
        <w:t>中国特色社会主义法治理论、</w:t>
      </w:r>
      <w:r>
        <w:rPr>
          <w:rFonts w:ascii="仿宋_GB2312" w:eastAsia="仿宋_GB2312" w:hAnsi="仿宋_GB2312" w:cs="仿宋_GB2312" w:hint="eastAsia"/>
          <w:sz w:val="32"/>
          <w:szCs w:val="32"/>
        </w:rPr>
        <w:t>法律职业伦理、工程伦理、医学人文教育等专题培训。支持高校将课程思政纳入教师岗前培训、在岗培训和师德师风、教学能力专题培训等。充分发挥教研室、教学团队、课程组等基层教学组织作用，建立课程思政集体教研制度。鼓励支持思政课教师与专业课教师合作教学教研，鼓励支持院士、“长江学者”、“杰青”、国家级教学名师等带头开展课程思政建设。</w:t>
      </w:r>
    </w:p>
    <w:p w:rsidR="00301ED2" w:rsidRDefault="00301ED2" w:rsidP="00301ED2">
      <w:pPr>
        <w:snapToGrid w:val="0"/>
        <w:spacing w:line="55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课程思政建设重点、难点、前瞻性问题的研究，在教育部哲学社会科学研究项目中积极支持课程思政类研究选题。充分发挥高校课程思政教学研究中心、思想政治工作创新发展中心、马克思主义学院和相关学科专业教学组织的作用，构建多层次课程思政建设研究体系。</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t>八、建立健全课程思政建设质量评价体系和激励机制</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人才培养效果是课程思政建设评价的首要标准。建立健全多</w:t>
      </w:r>
      <w:r>
        <w:rPr>
          <w:rFonts w:ascii="仿宋_GB2312" w:eastAsia="仿宋_GB2312" w:hint="eastAsia"/>
          <w:sz w:val="32"/>
          <w:szCs w:val="32"/>
        </w:rPr>
        <w:lastRenderedPageBreak/>
        <w:t>维度的课程思政建设成效考核评价体系和监督检查机制，在各类考核评估评价工作和深化高校教育教学改革中落细落实。充分发挥各级各类教学指导委员会、学科评议组、专业学位教育指导委员会、行业职业教育教学指导委员会等专家组织作用，研究制订科学多元的课程思政评价标准。把课程思政建设成效作为“双一流”建设监测与成效评价、学科评估、本科教学评估、一流专业和一流课程建设、专业认证、“双高计划”评价、高校或院系教学绩效考核等的重要内容。把教师参与课程思政建设情况和教学效果作为教师考核评价、岗位聘用、评优奖励、选拔培训的重要内容。在教学成果奖、教材奖等各类成果的表彰奖励工作中，突出课程思政要求，加大对课程思政建设优秀成果的支持力度。</w:t>
      </w:r>
    </w:p>
    <w:p w:rsidR="00301ED2" w:rsidRDefault="00301ED2" w:rsidP="00301ED2">
      <w:pPr>
        <w:snapToGrid w:val="0"/>
        <w:spacing w:line="558" w:lineRule="exact"/>
        <w:ind w:firstLineChars="200" w:firstLine="640"/>
        <w:rPr>
          <w:rFonts w:ascii="黑体" w:eastAsia="黑体" w:hAnsi="黑体"/>
          <w:sz w:val="32"/>
          <w:szCs w:val="32"/>
        </w:rPr>
      </w:pPr>
      <w:r>
        <w:rPr>
          <w:rFonts w:ascii="黑体" w:eastAsia="黑体" w:hAnsi="黑体" w:hint="eastAsia"/>
          <w:sz w:val="32"/>
          <w:szCs w:val="32"/>
        </w:rPr>
        <w:t>九、加强课程思政建设组织实施和条件保障</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课程思政建设是一项系统工程，各地各高校要高度重视，加强顶层设计，全面规划，循序渐进，以点带面，不断提高教学效果。要尊重教育教学规律和人才培养规律，适应不同高校、不同专业、不同课程的特点，强化分类指导，确定统一性和差异性要求。要充分发挥教师的主体作用，切实提高每一位教师参与课程思政建设的积极性和主动性。</w:t>
      </w:r>
    </w:p>
    <w:p w:rsidR="00301ED2" w:rsidRDefault="00301ED2" w:rsidP="00301ED2">
      <w:pPr>
        <w:snapToGrid w:val="0"/>
        <w:spacing w:line="558" w:lineRule="exact"/>
        <w:ind w:firstLineChars="200" w:firstLine="640"/>
        <w:rPr>
          <w:rFonts w:ascii="仿宋_GB2312" w:eastAsia="仿宋_GB2312"/>
          <w:sz w:val="32"/>
          <w:szCs w:val="32"/>
        </w:rPr>
      </w:pPr>
      <w:r>
        <w:rPr>
          <w:rFonts w:ascii="仿宋_GB2312" w:eastAsia="仿宋_GB2312" w:hint="eastAsia"/>
          <w:sz w:val="32"/>
          <w:szCs w:val="32"/>
        </w:rPr>
        <w:t>加强组织领导。教育部成立课程思政建设工作协调小组，统筹研究重大政策，指导地方、高校开展工作；组建高校课程思政建设专家咨询委员会，提供专家咨询意见。各地教育部门和高校要切实加强对课程思政建设的领导，结合实际研究制定各地、各校课程思政建设工作方案，健全工作机制，强化督查检查。各高</w:t>
      </w:r>
      <w:r>
        <w:rPr>
          <w:rFonts w:ascii="仿宋_GB2312" w:eastAsia="仿宋_GB2312" w:hint="eastAsia"/>
          <w:sz w:val="32"/>
          <w:szCs w:val="32"/>
        </w:rPr>
        <w:lastRenderedPageBreak/>
        <w:t>校要建立党委统一领导、党政齐抓共管、教务部门牵头抓总、相关部门联动、院系落实推进、自身特色鲜明的课程思政建设工作格局。</w:t>
      </w:r>
    </w:p>
    <w:p w:rsidR="00301ED2" w:rsidRDefault="00301ED2" w:rsidP="00301ED2">
      <w:pPr>
        <w:snapToGrid w:val="0"/>
        <w:spacing w:line="558"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加强支持保障。各地教育部门要加强政策协调配套，统筹地方财政高等教育资金和中央支持地方高校改革发展资金，支持高校推进课程思政建设。中央部门所属高校要统筹利用中央高校教育教学改革专项等中央高校预算拨款和其他各类资源，结合学校实际，支持课程思政建设工作。地方高校要根据自身建设计划，统筹各类资源，加大对课程思政建设的投入力</w:t>
      </w:r>
      <w:r>
        <w:rPr>
          <w:rFonts w:ascii="仿宋_GB2312" w:eastAsia="仿宋_GB2312" w:hAnsi="仿宋_GB2312" w:cs="仿宋_GB2312" w:hint="eastAsia"/>
          <w:sz w:val="32"/>
          <w:szCs w:val="32"/>
        </w:rPr>
        <w:t>度。</w:t>
      </w:r>
    </w:p>
    <w:p w:rsidR="00301ED2" w:rsidRDefault="00301ED2" w:rsidP="00301ED2">
      <w:pPr>
        <w:snapToGrid w:val="0"/>
        <w:spacing w:line="558" w:lineRule="exact"/>
        <w:ind w:firstLineChars="200" w:firstLine="640"/>
      </w:pPr>
      <w:r>
        <w:rPr>
          <w:rFonts w:ascii="仿宋_GB2312" w:eastAsia="仿宋_GB2312" w:hint="eastAsia"/>
          <w:sz w:val="32"/>
          <w:szCs w:val="32"/>
        </w:rPr>
        <w:t>加强示范引领。面向不同层次高校、不同学科专业、不同类型课程，持续深入抓典型、树标杆、推经验，形成规模、形成范式、形成体系。教育部选树一批课程思政建设先行校、一批课程思政教学名师和团队，推出一批课程思政示范课程、建设一批课程思政教学研究示范中心，设立一批课程思政建设研究项目，推动建设国家、省级、高校多层次示范体系，大力推广课程思政建设先进经验和做法，全面形成广泛开展课程思政建设的良好氛围，全面提高人才培养质量。</w:t>
      </w:r>
    </w:p>
    <w:p w:rsidR="00BD6B7E" w:rsidRPr="00301ED2" w:rsidRDefault="00BD6B7E" w:rsidP="00CF3410">
      <w:pPr>
        <w:spacing w:line="560" w:lineRule="exact"/>
        <w:jc w:val="center"/>
        <w:rPr>
          <w:rFonts w:ascii="仿宋_GB2312" w:eastAsia="仿宋_GB2312"/>
          <w:sz w:val="30"/>
          <w:szCs w:val="30"/>
        </w:rPr>
      </w:pPr>
    </w:p>
    <w:p w:rsidR="00BD6B7E" w:rsidRDefault="00BD6B7E" w:rsidP="003A5317">
      <w:pPr>
        <w:spacing w:line="560" w:lineRule="exact"/>
        <w:rPr>
          <w:rFonts w:ascii="仿宋_GB2312" w:eastAsia="仿宋_GB2312"/>
          <w:sz w:val="30"/>
          <w:szCs w:val="30"/>
        </w:rPr>
      </w:pPr>
    </w:p>
    <w:p w:rsidR="00D71127" w:rsidRDefault="00D71127"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Default="00CF3410" w:rsidP="0049162B">
      <w:pPr>
        <w:spacing w:line="560" w:lineRule="atLeast"/>
        <w:ind w:firstLineChars="1748" w:firstLine="5244"/>
        <w:rPr>
          <w:rFonts w:eastAsia="仿宋_GB2312"/>
          <w:sz w:val="30"/>
          <w:szCs w:val="30"/>
        </w:rPr>
      </w:pPr>
    </w:p>
    <w:p w:rsidR="00CF3410" w:rsidRPr="005D59A6" w:rsidRDefault="00CF3410" w:rsidP="0049162B">
      <w:pPr>
        <w:spacing w:line="560" w:lineRule="atLeast"/>
        <w:ind w:firstLineChars="1748" w:firstLine="5244"/>
        <w:rPr>
          <w:rFonts w:eastAsia="仿宋_GB2312"/>
          <w:sz w:val="30"/>
          <w:szCs w:val="30"/>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301ED2" w:rsidRDefault="00301ED2" w:rsidP="00D71127">
      <w:pPr>
        <w:spacing w:line="560" w:lineRule="exact"/>
        <w:rPr>
          <w:rFonts w:ascii="仿宋_GB2312" w:eastAsia="仿宋_GB2312"/>
          <w:sz w:val="28"/>
          <w:szCs w:val="28"/>
        </w:rPr>
      </w:pPr>
    </w:p>
    <w:p w:rsidR="00D71127" w:rsidRPr="00D71127" w:rsidRDefault="00D71127" w:rsidP="00D71127">
      <w:pPr>
        <w:spacing w:line="560" w:lineRule="exact"/>
        <w:rPr>
          <w:rFonts w:ascii="仿宋_GB2312" w:eastAsia="仿宋_GB2312"/>
          <w:sz w:val="28"/>
          <w:szCs w:val="28"/>
        </w:rPr>
      </w:pPr>
      <w:r>
        <w:rPr>
          <w:rFonts w:ascii="仿宋_GB2312" w:eastAsia="仿宋_GB2312" w:hint="eastAsia"/>
          <w:sz w:val="28"/>
          <w:szCs w:val="28"/>
        </w:rPr>
        <w:t>（</w:t>
      </w:r>
      <w:r w:rsidRPr="00D71127">
        <w:rPr>
          <w:rFonts w:ascii="仿宋_GB2312" w:eastAsia="仿宋_GB2312" w:hint="eastAsia"/>
          <w:sz w:val="28"/>
          <w:szCs w:val="28"/>
        </w:rPr>
        <w:t>此件</w:t>
      </w:r>
      <w:r w:rsidR="00301ED2">
        <w:rPr>
          <w:rFonts w:ascii="仿宋_GB2312" w:eastAsia="仿宋_GB2312" w:hint="eastAsia"/>
          <w:sz w:val="28"/>
          <w:szCs w:val="28"/>
        </w:rPr>
        <w:t>主动</w:t>
      </w:r>
      <w:r w:rsidRPr="00D71127">
        <w:rPr>
          <w:rFonts w:ascii="仿宋_GB2312" w:eastAsia="仿宋_GB2312" w:hint="eastAsia"/>
          <w:sz w:val="28"/>
          <w:szCs w:val="28"/>
        </w:rPr>
        <w:t>公开）</w:t>
      </w:r>
    </w:p>
    <w:tbl>
      <w:tblPr>
        <w:tblpPr w:leftFromText="181" w:rightFromText="181" w:vertAnchor="page" w:horzAnchor="margin" w:tblpY="13374"/>
        <w:tblOverlap w:val="never"/>
        <w:tblW w:w="0" w:type="auto"/>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8829"/>
      </w:tblGrid>
      <w:tr w:rsidR="00D71127" w:rsidRPr="00950D96" w:rsidTr="00301ED2">
        <w:trPr>
          <w:trHeight w:val="562"/>
        </w:trPr>
        <w:tc>
          <w:tcPr>
            <w:tcW w:w="8829" w:type="dxa"/>
            <w:vAlign w:val="center"/>
          </w:tcPr>
          <w:p w:rsidR="00D71127" w:rsidRDefault="00D71127" w:rsidP="00301ED2">
            <w:pPr>
              <w:adjustRightInd w:val="0"/>
              <w:snapToGrid w:val="0"/>
              <w:spacing w:line="300" w:lineRule="exact"/>
              <w:rPr>
                <w:rFonts w:eastAsia="仿宋_GB2312"/>
                <w:sz w:val="28"/>
                <w:szCs w:val="28"/>
              </w:rPr>
            </w:pPr>
            <w:r>
              <w:rPr>
                <w:rFonts w:eastAsia="仿宋_GB2312" w:hint="eastAsia"/>
                <w:sz w:val="28"/>
                <w:szCs w:val="28"/>
              </w:rPr>
              <w:t>部内</w:t>
            </w:r>
            <w:r w:rsidRPr="00950D96">
              <w:rPr>
                <w:rFonts w:eastAsia="仿宋_GB2312"/>
                <w:sz w:val="28"/>
                <w:szCs w:val="28"/>
              </w:rPr>
              <w:t>发送：</w:t>
            </w:r>
            <w:r>
              <w:rPr>
                <w:rFonts w:eastAsia="仿宋_GB2312" w:hint="eastAsia"/>
                <w:sz w:val="28"/>
                <w:szCs w:val="28"/>
              </w:rPr>
              <w:t>有关部领导，办公厅</w:t>
            </w:r>
            <w:r w:rsidR="00301ED2">
              <w:rPr>
                <w:rFonts w:eastAsia="仿宋_GB2312" w:hint="eastAsia"/>
                <w:sz w:val="28"/>
                <w:szCs w:val="28"/>
              </w:rPr>
              <w:t>、政法司、综改司、教材局、职成司、</w:t>
            </w:r>
          </w:p>
          <w:p w:rsidR="00301ED2" w:rsidRPr="00950D96" w:rsidRDefault="00301ED2" w:rsidP="00301ED2">
            <w:pPr>
              <w:adjustRightInd w:val="0"/>
              <w:snapToGrid w:val="0"/>
              <w:spacing w:line="300" w:lineRule="exact"/>
              <w:rPr>
                <w:rFonts w:eastAsia="仿宋_GB2312"/>
                <w:sz w:val="28"/>
                <w:szCs w:val="28"/>
              </w:rPr>
            </w:pPr>
            <w:r>
              <w:rPr>
                <w:rFonts w:eastAsia="仿宋_GB2312" w:hint="eastAsia"/>
                <w:sz w:val="28"/>
                <w:szCs w:val="28"/>
              </w:rPr>
              <w:t xml:space="preserve">          </w:t>
            </w:r>
            <w:r>
              <w:rPr>
                <w:rFonts w:eastAsia="仿宋_GB2312" w:hint="eastAsia"/>
                <w:sz w:val="28"/>
                <w:szCs w:val="28"/>
              </w:rPr>
              <w:t>督导局、教师司、体卫艺司、思政司、社科司、研究生司</w:t>
            </w:r>
          </w:p>
        </w:tc>
      </w:tr>
      <w:tr w:rsidR="00D71127" w:rsidRPr="00950D96" w:rsidTr="00301ED2">
        <w:trPr>
          <w:trHeight w:val="493"/>
        </w:trPr>
        <w:tc>
          <w:tcPr>
            <w:tcW w:w="8829" w:type="dxa"/>
            <w:vAlign w:val="center"/>
          </w:tcPr>
          <w:p w:rsidR="00D71127" w:rsidRPr="00950D96" w:rsidRDefault="00D71127" w:rsidP="00301ED2">
            <w:pPr>
              <w:spacing w:line="300" w:lineRule="exact"/>
              <w:rPr>
                <w:rFonts w:eastAsia="仿宋_GB2312"/>
                <w:sz w:val="28"/>
                <w:szCs w:val="28"/>
              </w:rPr>
            </w:pPr>
            <w:r w:rsidRPr="00950D96">
              <w:rPr>
                <w:rFonts w:eastAsia="仿宋_GB2312"/>
                <w:sz w:val="28"/>
                <w:szCs w:val="28"/>
              </w:rPr>
              <w:t>教育部办公厅</w:t>
            </w:r>
            <w:r w:rsidRPr="00950D96">
              <w:rPr>
                <w:rFonts w:eastAsia="仿宋_GB2312"/>
                <w:sz w:val="28"/>
                <w:szCs w:val="28"/>
              </w:rPr>
              <w:t xml:space="preserve">    </w:t>
            </w:r>
            <w:r w:rsidR="00301ED2">
              <w:rPr>
                <w:rFonts w:eastAsia="仿宋_GB2312" w:hint="eastAsia"/>
                <w:sz w:val="28"/>
                <w:szCs w:val="28"/>
              </w:rPr>
              <w:t xml:space="preserve">  </w:t>
            </w:r>
            <w:r w:rsidRPr="00950D96">
              <w:rPr>
                <w:rFonts w:eastAsia="仿宋_GB2312"/>
                <w:sz w:val="28"/>
                <w:szCs w:val="28"/>
              </w:rPr>
              <w:t xml:space="preserve">       </w:t>
            </w:r>
            <w:r>
              <w:rPr>
                <w:rFonts w:eastAsia="仿宋_GB2312" w:hint="eastAsia"/>
                <w:sz w:val="28"/>
                <w:szCs w:val="28"/>
              </w:rPr>
              <w:t xml:space="preserve">          </w:t>
            </w:r>
            <w:r>
              <w:rPr>
                <w:rFonts w:eastAsia="仿宋_GB2312"/>
                <w:sz w:val="28"/>
                <w:szCs w:val="28"/>
              </w:rPr>
              <w:t xml:space="preserve">    </w:t>
            </w:r>
            <w:r>
              <w:rPr>
                <w:rFonts w:eastAsia="仿宋_GB2312" w:hint="eastAsia"/>
                <w:sz w:val="28"/>
                <w:szCs w:val="28"/>
              </w:rPr>
              <w:t xml:space="preserve">    </w:t>
            </w:r>
            <w:r>
              <w:rPr>
                <w:rFonts w:eastAsia="仿宋_GB2312"/>
                <w:sz w:val="28"/>
                <w:szCs w:val="28"/>
              </w:rPr>
              <w:t>20</w:t>
            </w:r>
            <w:r w:rsidR="00301ED2">
              <w:rPr>
                <w:rFonts w:eastAsia="仿宋_GB2312" w:hint="eastAsia"/>
                <w:sz w:val="28"/>
                <w:szCs w:val="28"/>
              </w:rPr>
              <w:t>20</w:t>
            </w:r>
            <w:r w:rsidRPr="00950D96">
              <w:rPr>
                <w:rFonts w:eastAsia="仿宋_GB2312"/>
                <w:sz w:val="28"/>
                <w:szCs w:val="28"/>
              </w:rPr>
              <w:t>年</w:t>
            </w:r>
            <w:r w:rsidR="00301ED2">
              <w:rPr>
                <w:rFonts w:eastAsia="仿宋_GB2312" w:hint="eastAsia"/>
                <w:sz w:val="28"/>
                <w:szCs w:val="28"/>
              </w:rPr>
              <w:t>6</w:t>
            </w:r>
            <w:r w:rsidRPr="00950D96">
              <w:rPr>
                <w:rFonts w:eastAsia="仿宋_GB2312"/>
                <w:sz w:val="28"/>
                <w:szCs w:val="28"/>
              </w:rPr>
              <w:t>月</w:t>
            </w:r>
            <w:r w:rsidR="00301ED2">
              <w:rPr>
                <w:rFonts w:eastAsia="仿宋_GB2312" w:hint="eastAsia"/>
                <w:sz w:val="28"/>
                <w:szCs w:val="28"/>
              </w:rPr>
              <w:t>1</w:t>
            </w:r>
            <w:r w:rsidRPr="00950D96">
              <w:rPr>
                <w:rFonts w:eastAsia="仿宋_GB2312"/>
                <w:sz w:val="28"/>
                <w:szCs w:val="28"/>
              </w:rPr>
              <w:t>日印发</w:t>
            </w:r>
          </w:p>
        </w:tc>
      </w:tr>
    </w:tbl>
    <w:p w:rsidR="00D71127" w:rsidRDefault="00D71127" w:rsidP="00301ED2">
      <w:pPr>
        <w:spacing w:line="20" w:lineRule="exact"/>
        <w:rPr>
          <w:rFonts w:ascii="仿宋_GB2312" w:eastAsia="仿宋_GB2312"/>
          <w:sz w:val="30"/>
          <w:szCs w:val="30"/>
        </w:rPr>
      </w:pPr>
    </w:p>
    <w:sectPr w:rsidR="00D71127" w:rsidSect="003A5317">
      <w:footerReference w:type="even" r:id="rId7"/>
      <w:footerReference w:type="default" r:id="rId8"/>
      <w:pgSz w:w="11906" w:h="16838"/>
      <w:pgMar w:top="1814" w:right="1531" w:bottom="1814" w:left="1531" w:header="851" w:footer="1313"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019" w:rsidRDefault="006B3019">
      <w:r>
        <w:separator/>
      </w:r>
    </w:p>
  </w:endnote>
  <w:endnote w:type="continuationSeparator" w:id="0">
    <w:p w:rsidR="006B3019" w:rsidRDefault="006B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71C" w:rsidRPr="00F9271C" w:rsidRDefault="0050371C" w:rsidP="0050371C">
    <w:pPr>
      <w:pStyle w:val="a4"/>
      <w:rPr>
        <w:rFonts w:ascii="宋体" w:hAnsi="宋体"/>
        <w:b/>
        <w:sz w:val="32"/>
        <w:szCs w:val="32"/>
      </w:rPr>
    </w:pPr>
    <w:r w:rsidRPr="00F9271C">
      <w:rPr>
        <w:rFonts w:ascii="宋体" w:hAnsi="宋体" w:hint="eastAsia"/>
        <w:b/>
        <w:sz w:val="32"/>
        <w:szCs w:val="32"/>
      </w:rPr>
      <w:t>—</w:t>
    </w:r>
    <w:r>
      <w:rPr>
        <w:rFonts w:ascii="宋体" w:hAnsi="宋体" w:hint="eastAsia"/>
        <w:b/>
        <w:sz w:val="32"/>
        <w:szCs w:val="32"/>
      </w:rPr>
      <w:t xml:space="preserve"> </w:t>
    </w:r>
    <w:r w:rsidRPr="00F9271C">
      <w:rPr>
        <w:rFonts w:ascii="宋体" w:hAnsi="宋体"/>
        <w:b/>
        <w:sz w:val="32"/>
        <w:szCs w:val="32"/>
      </w:rPr>
      <w:fldChar w:fldCharType="begin"/>
    </w:r>
    <w:r w:rsidRPr="00F9271C">
      <w:rPr>
        <w:rFonts w:ascii="宋体" w:hAnsi="宋体"/>
        <w:b/>
        <w:sz w:val="32"/>
        <w:szCs w:val="32"/>
      </w:rPr>
      <w:instrText xml:space="preserve"> PAGE   \* MERGEFORMAT </w:instrText>
    </w:r>
    <w:r w:rsidRPr="00F9271C">
      <w:rPr>
        <w:rFonts w:ascii="宋体" w:hAnsi="宋体"/>
        <w:b/>
        <w:sz w:val="32"/>
        <w:szCs w:val="32"/>
      </w:rPr>
      <w:fldChar w:fldCharType="separate"/>
    </w:r>
    <w:r w:rsidRPr="009520AC">
      <w:rPr>
        <w:rFonts w:ascii="宋体" w:hAnsi="宋体"/>
        <w:b/>
        <w:noProof/>
        <w:sz w:val="32"/>
        <w:szCs w:val="32"/>
        <w:lang w:val="zh-CN"/>
      </w:rPr>
      <w:t>2</w:t>
    </w:r>
    <w:r w:rsidRPr="00F9271C">
      <w:rPr>
        <w:rFonts w:ascii="宋体" w:hAnsi="宋体"/>
        <w:b/>
        <w:sz w:val="32"/>
        <w:szCs w:val="32"/>
      </w:rPr>
      <w:fldChar w:fldCharType="end"/>
    </w:r>
    <w:r>
      <w:rPr>
        <w:rFonts w:ascii="宋体" w:hAnsi="宋体" w:hint="eastAsia"/>
        <w:b/>
        <w:sz w:val="32"/>
        <w:szCs w:val="3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71C" w:rsidRPr="00490864" w:rsidRDefault="0050371C" w:rsidP="00490864">
    <w:pPr>
      <w:pStyle w:val="a4"/>
      <w:jc w:val="center"/>
      <w:rPr>
        <w:b/>
        <w:sz w:val="28"/>
        <w:szCs w:val="28"/>
      </w:rPr>
    </w:pPr>
    <w:r w:rsidRPr="00490864">
      <w:rPr>
        <w:b/>
        <w:sz w:val="28"/>
        <w:szCs w:val="28"/>
      </w:rPr>
      <w:t xml:space="preserve">— </w:t>
    </w:r>
    <w:r w:rsidRPr="00490864">
      <w:rPr>
        <w:b/>
        <w:sz w:val="28"/>
        <w:szCs w:val="28"/>
      </w:rPr>
      <w:fldChar w:fldCharType="begin"/>
    </w:r>
    <w:r w:rsidRPr="00490864">
      <w:rPr>
        <w:b/>
        <w:sz w:val="28"/>
        <w:szCs w:val="28"/>
      </w:rPr>
      <w:instrText xml:space="preserve"> PAGE   \* MERGEFORMAT </w:instrText>
    </w:r>
    <w:r w:rsidRPr="00490864">
      <w:rPr>
        <w:b/>
        <w:sz w:val="28"/>
        <w:szCs w:val="28"/>
      </w:rPr>
      <w:fldChar w:fldCharType="separate"/>
    </w:r>
    <w:r w:rsidR="0082005C" w:rsidRPr="0082005C">
      <w:rPr>
        <w:b/>
        <w:noProof/>
        <w:sz w:val="28"/>
        <w:szCs w:val="28"/>
        <w:lang w:val="zh-CN"/>
      </w:rPr>
      <w:t>6</w:t>
    </w:r>
    <w:r w:rsidRPr="00490864">
      <w:rPr>
        <w:b/>
        <w:sz w:val="28"/>
        <w:szCs w:val="28"/>
      </w:rPr>
      <w:fldChar w:fldCharType="end"/>
    </w:r>
    <w:r w:rsidRPr="00490864">
      <w:rPr>
        <w:b/>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019" w:rsidRDefault="006B3019">
      <w:r>
        <w:separator/>
      </w:r>
    </w:p>
  </w:footnote>
  <w:footnote w:type="continuationSeparator" w:id="0">
    <w:p w:rsidR="006B3019" w:rsidRDefault="006B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WM_UUID" w:val="e6f1f77e-1afe-446d-b791-9bbb8a518445"/>
  </w:docVars>
  <w:rsids>
    <w:rsidRoot w:val="007B040B"/>
    <w:rsid w:val="00010983"/>
    <w:rsid w:val="00075942"/>
    <w:rsid w:val="00090D9C"/>
    <w:rsid w:val="000B5C73"/>
    <w:rsid w:val="000C137F"/>
    <w:rsid w:val="000F78F0"/>
    <w:rsid w:val="00106CEF"/>
    <w:rsid w:val="0013504E"/>
    <w:rsid w:val="00144143"/>
    <w:rsid w:val="0016320C"/>
    <w:rsid w:val="001901B2"/>
    <w:rsid w:val="001C1E31"/>
    <w:rsid w:val="001F5558"/>
    <w:rsid w:val="00204706"/>
    <w:rsid w:val="002A3A96"/>
    <w:rsid w:val="00301ED2"/>
    <w:rsid w:val="00321C68"/>
    <w:rsid w:val="00373615"/>
    <w:rsid w:val="003A5317"/>
    <w:rsid w:val="003E0A64"/>
    <w:rsid w:val="003F73AD"/>
    <w:rsid w:val="00401124"/>
    <w:rsid w:val="00413575"/>
    <w:rsid w:val="00414653"/>
    <w:rsid w:val="00421436"/>
    <w:rsid w:val="00490864"/>
    <w:rsid w:val="0049162B"/>
    <w:rsid w:val="004C07DB"/>
    <w:rsid w:val="004C190B"/>
    <w:rsid w:val="004E15C7"/>
    <w:rsid w:val="004F52C4"/>
    <w:rsid w:val="0050371C"/>
    <w:rsid w:val="00510EF6"/>
    <w:rsid w:val="00576AF8"/>
    <w:rsid w:val="00577B89"/>
    <w:rsid w:val="005A5340"/>
    <w:rsid w:val="005B658C"/>
    <w:rsid w:val="005D2540"/>
    <w:rsid w:val="005D6A85"/>
    <w:rsid w:val="006025BA"/>
    <w:rsid w:val="00683BBC"/>
    <w:rsid w:val="006B3019"/>
    <w:rsid w:val="006E441E"/>
    <w:rsid w:val="006F46BB"/>
    <w:rsid w:val="0071750A"/>
    <w:rsid w:val="00745375"/>
    <w:rsid w:val="00763B2C"/>
    <w:rsid w:val="007908A0"/>
    <w:rsid w:val="007B040B"/>
    <w:rsid w:val="007F2F3D"/>
    <w:rsid w:val="008044A3"/>
    <w:rsid w:val="0082005C"/>
    <w:rsid w:val="00847A25"/>
    <w:rsid w:val="00891C48"/>
    <w:rsid w:val="008C0B04"/>
    <w:rsid w:val="00915847"/>
    <w:rsid w:val="00917830"/>
    <w:rsid w:val="00955C4D"/>
    <w:rsid w:val="009B4BDD"/>
    <w:rsid w:val="00A029F6"/>
    <w:rsid w:val="00A24CE0"/>
    <w:rsid w:val="00A4628A"/>
    <w:rsid w:val="00A95F2B"/>
    <w:rsid w:val="00AD7965"/>
    <w:rsid w:val="00B32120"/>
    <w:rsid w:val="00B3547E"/>
    <w:rsid w:val="00B604E3"/>
    <w:rsid w:val="00B741AD"/>
    <w:rsid w:val="00BD6B7E"/>
    <w:rsid w:val="00BD7651"/>
    <w:rsid w:val="00BE6ABB"/>
    <w:rsid w:val="00BF1BCC"/>
    <w:rsid w:val="00BF35D3"/>
    <w:rsid w:val="00CF2BCF"/>
    <w:rsid w:val="00CF3410"/>
    <w:rsid w:val="00CF76E9"/>
    <w:rsid w:val="00D6767B"/>
    <w:rsid w:val="00D71127"/>
    <w:rsid w:val="00D82A92"/>
    <w:rsid w:val="00DB0CD8"/>
    <w:rsid w:val="00DB170A"/>
    <w:rsid w:val="00DB5117"/>
    <w:rsid w:val="00DB540E"/>
    <w:rsid w:val="00DB7F03"/>
    <w:rsid w:val="00DD3317"/>
    <w:rsid w:val="00E639EC"/>
    <w:rsid w:val="00EB08DC"/>
    <w:rsid w:val="00F06325"/>
    <w:rsid w:val="00F32EC1"/>
    <w:rsid w:val="00F37E1C"/>
    <w:rsid w:val="00F4609B"/>
    <w:rsid w:val="00F76E3E"/>
    <w:rsid w:val="00FE4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34E9C"/>
  <w15:chartTrackingRefBased/>
  <w15:docId w15:val="{9332FC9D-905D-43CB-93AF-0D7C180B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40B"/>
    <w:pPr>
      <w:widowControl w:val="0"/>
      <w:jc w:val="both"/>
    </w:pPr>
    <w:rPr>
      <w:kern w:val="2"/>
      <w:sz w:val="21"/>
      <w:szCs w:val="24"/>
    </w:rPr>
  </w:style>
  <w:style w:type="paragraph" w:styleId="1">
    <w:name w:val="heading 1"/>
    <w:basedOn w:val="a"/>
    <w:next w:val="a"/>
    <w:link w:val="10"/>
    <w:qFormat/>
    <w:rsid w:val="00301ED2"/>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B040B"/>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7B040B"/>
    <w:pPr>
      <w:tabs>
        <w:tab w:val="center" w:pos="4153"/>
        <w:tab w:val="right" w:pos="8306"/>
      </w:tabs>
      <w:snapToGrid w:val="0"/>
      <w:jc w:val="left"/>
    </w:pPr>
    <w:rPr>
      <w:sz w:val="18"/>
      <w:szCs w:val="18"/>
    </w:rPr>
  </w:style>
  <w:style w:type="character" w:customStyle="1" w:styleId="a5">
    <w:name w:val="页脚 字符"/>
    <w:link w:val="a4"/>
    <w:uiPriority w:val="99"/>
    <w:rsid w:val="00321C68"/>
    <w:rPr>
      <w:kern w:val="2"/>
      <w:sz w:val="18"/>
      <w:szCs w:val="18"/>
    </w:rPr>
  </w:style>
  <w:style w:type="character" w:customStyle="1" w:styleId="10">
    <w:name w:val="标题 1 字符"/>
    <w:link w:val="1"/>
    <w:rsid w:val="00301ED2"/>
    <w:rPr>
      <w:rFonts w:ascii="宋体" w:hAnsi="宋体"/>
      <w:b/>
      <w:kern w:val="44"/>
      <w:sz w:val="48"/>
      <w:szCs w:val="48"/>
    </w:rPr>
  </w:style>
  <w:style w:type="paragraph" w:styleId="a6">
    <w:name w:val="Normal (Web)"/>
    <w:basedOn w:val="a"/>
    <w:qFormat/>
    <w:rsid w:val="00301ED2"/>
    <w:pPr>
      <w:spacing w:beforeAutospacing="1" w:afterAutospacing="1"/>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924</Words>
  <Characters>5267</Characters>
  <Application>Microsoft Office Word</Application>
  <DocSecurity>0</DocSecurity>
  <Lines>43</Lines>
  <Paragraphs>12</Paragraphs>
  <ScaleCrop>false</ScaleCrop>
  <Company>Microsoft</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cp:lastModifiedBy>laptop-surface 5</cp:lastModifiedBy>
  <cp:revision>2</cp:revision>
  <cp:lastPrinted>2011-11-07T02:31:00Z</cp:lastPrinted>
  <dcterms:created xsi:type="dcterms:W3CDTF">2020-07-29T16:58:00Z</dcterms:created>
  <dcterms:modified xsi:type="dcterms:W3CDTF">2020-07-29T16:58:00Z</dcterms:modified>
</cp:coreProperties>
</file>